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05" w:rsidRPr="002E0305" w:rsidRDefault="002E0305" w:rsidP="002E0305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E0305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  <w:lang w:eastAsia="ru-RU"/>
        </w:rPr>
        <w:t>План мероприятий по проведению декады правового просвещения несовершеннолетних и родительской общественности</w:t>
      </w:r>
    </w:p>
    <w:p w:rsidR="002E0305" w:rsidRPr="002E0305" w:rsidRDefault="002E0305" w:rsidP="002E0305">
      <w:pPr>
        <w:pStyle w:val="a6"/>
        <w:ind w:left="-567" w:right="-284" w:firstLine="567"/>
        <w:rPr>
          <w:rFonts w:ascii="Times New Roman" w:hAnsi="Times New Roman" w:cs="Times New Roman"/>
          <w:sz w:val="26"/>
          <w:szCs w:val="26"/>
        </w:rPr>
      </w:pPr>
      <w:r w:rsidRPr="002E03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исполнения решения Правительственной комиссии по вопросам реализации Федерального закона «О бесплатной юридической помощи в Российской Федерации» от 12.12.2012 года № 1293;</w:t>
      </w:r>
      <w:r w:rsidRPr="002E0305">
        <w:rPr>
          <w:rFonts w:ascii="Times New Roman" w:hAnsi="Times New Roman" w:cs="Times New Roman"/>
          <w:sz w:val="26"/>
          <w:szCs w:val="26"/>
        </w:rPr>
        <w:t xml:space="preserve"> письма помощника Уполномоченного по правам ребенка в Краснодарском крае от 03.11.2020 № 107/34-12 «О проведении мероприятий ко Дню защиты детей»</w:t>
      </w:r>
      <w:r w:rsidRPr="002E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C31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проведением декады </w:t>
      </w:r>
      <w:r w:rsidRPr="002E03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просвещения несовершеннолетних и родительской общественности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МБДОУ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раснодар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следующие мероприятия с 09.11.2020 по 27.11 2020.</w:t>
      </w:r>
    </w:p>
    <w:tbl>
      <w:tblPr>
        <w:tblW w:w="9805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632"/>
        <w:gridCol w:w="3619"/>
      </w:tblGrid>
      <w:tr w:rsidR="002E0305" w:rsidRPr="002E0305" w:rsidTr="002E0305"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№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2E0305" w:rsidRPr="002E0305" w:rsidTr="002E0305">
        <w:tc>
          <w:tcPr>
            <w:tcW w:w="980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Работа с воспитанниками</w:t>
            </w:r>
          </w:p>
        </w:tc>
      </w:tr>
      <w:tr w:rsidR="002E0305" w:rsidRPr="002E0305" w:rsidTr="002E0305">
        <w:trPr>
          <w:trHeight w:val="3406"/>
        </w:trPr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Цикл занятий по правовому просвещению детей: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"Я - человек"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«Что такое права человека»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«Право ребенка на имя, отчество и фамилию»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 Право ребенка жить и воспитываться в семье»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«Право ребенка на охрану здоровья»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«Права ребенка на образование»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«Права и обязанности ребенка»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«Право на защиту»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«Право на жилье и неприкосновенность жилища»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«Право на свободу»</w:t>
            </w:r>
          </w:p>
        </w:tc>
        <w:tc>
          <w:tcPr>
            <w:tcW w:w="2965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 детей старшего дошкольного возраста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Беседы с детьми: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«Что такое права ребёнка»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«Как дружить без ссоры»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«У каждого есть имя»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«Жизнь дана на добрые дела»</w:t>
            </w:r>
          </w:p>
        </w:tc>
        <w:tc>
          <w:tcPr>
            <w:tcW w:w="2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Викторина по правовому воспитанию дошкольников «Права литературных героев»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(совместно с</w:t>
            </w: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 xml:space="preserve"> детской библиотекой)</w:t>
            </w:r>
          </w:p>
        </w:tc>
        <w:tc>
          <w:tcPr>
            <w:tcW w:w="2965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Оформление выставки рисунков: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«Я и мои права»</w:t>
            </w:r>
          </w:p>
        </w:tc>
        <w:tc>
          <w:tcPr>
            <w:tcW w:w="2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Группы №8,8а,9,9а,10,10а,11,11а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Игры и проблемные ситуации для дошкольников: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«Что такое хорошо и что такое плохо»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«Не поделили игрушку»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«Рядом с тобой друг»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«Запрещается – разрешается»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«Мы разные, но у нас равные права»</w:t>
            </w:r>
          </w:p>
        </w:tc>
        <w:tc>
          <w:tcPr>
            <w:tcW w:w="2965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0305" w:rsidRPr="002E0305" w:rsidRDefault="002E0305" w:rsidP="006153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Чтение литературных произведений по теме</w:t>
            </w:r>
          </w:p>
        </w:tc>
        <w:tc>
          <w:tcPr>
            <w:tcW w:w="2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0305" w:rsidRPr="002E0305" w:rsidRDefault="002E0305" w:rsidP="0061532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E0305" w:rsidRPr="002E0305" w:rsidTr="002E0305">
        <w:tc>
          <w:tcPr>
            <w:tcW w:w="980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Родительск</w:t>
            </w: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ое собрание в дистанционном режиме</w:t>
            </w:r>
            <w:r w:rsidR="00AF64D8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 xml:space="preserve"> </w:t>
            </w: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«Под защитой закона»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группы №8,8а,9,9а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AF64D8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Консультации для родителей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«Правовое образование старших дошкольников»,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«История становления законодательства о правах ребёнка»,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«Можно ли обойтись без наказания»,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«Ребёнок и его права»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 xml:space="preserve"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</w:t>
            </w:r>
            <w:proofErr w:type="gramStart"/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 xml:space="preserve"> учреждения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E0305" w:rsidRPr="002E0305" w:rsidTr="002E0305"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Оформление памяток для родителей: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«Наказывая, подумай: зачем?»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«Искусство быть родителем»</w:t>
            </w:r>
          </w:p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«Четыре заповеди мудрого родителя»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E0305" w:rsidRPr="002E0305" w:rsidTr="002E0305">
        <w:tc>
          <w:tcPr>
            <w:tcW w:w="9805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Работа с педагогами</w:t>
            </w:r>
          </w:p>
        </w:tc>
      </w:tr>
      <w:tr w:rsidR="002E0305" w:rsidRPr="002E0305" w:rsidTr="00AF64D8">
        <w:tc>
          <w:tcPr>
            <w:tcW w:w="554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Выставка литературы по правовому воспитанию дошкольников</w:t>
            </w:r>
          </w:p>
        </w:tc>
        <w:tc>
          <w:tcPr>
            <w:tcW w:w="0" w:type="auto"/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0305" w:rsidRPr="002E0305" w:rsidRDefault="00AF64D8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старшие воспитатели</w:t>
            </w:r>
          </w:p>
        </w:tc>
      </w:tr>
      <w:tr w:rsidR="002E0305" w:rsidRPr="002E0305" w:rsidTr="00AF64D8">
        <w:tc>
          <w:tcPr>
            <w:tcW w:w="5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Консультация для воспитателей «Правовое воспитание дошкольников»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0305" w:rsidRPr="002E0305" w:rsidRDefault="00AF64D8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старшие воспитатели</w:t>
            </w:r>
          </w:p>
        </w:tc>
      </w:tr>
      <w:tr w:rsidR="002E0305" w:rsidRPr="002E0305" w:rsidTr="00AF64D8">
        <w:tc>
          <w:tcPr>
            <w:tcW w:w="554" w:type="dxa"/>
            <w:shd w:val="clear" w:color="auto" w:fill="F3F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12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86" w:type="dxa"/>
            <w:shd w:val="clear" w:color="auto" w:fill="F3F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0305" w:rsidRPr="002E0305" w:rsidRDefault="002E0305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2E0305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Семинар-практикум "Охрана прав и достоинства маленького ребенка. Координация усилий семьи и ДОУ"</w:t>
            </w:r>
          </w:p>
        </w:tc>
        <w:tc>
          <w:tcPr>
            <w:tcW w:w="0" w:type="auto"/>
            <w:shd w:val="clear" w:color="auto" w:fill="F3F9E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0305" w:rsidRPr="002E0305" w:rsidRDefault="00AF64D8" w:rsidP="002E030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старшие воспитатели</w:t>
            </w:r>
          </w:p>
        </w:tc>
      </w:tr>
    </w:tbl>
    <w:p w:rsidR="00AF4A79" w:rsidRPr="002E0305" w:rsidRDefault="00AF4A79" w:rsidP="002E0305">
      <w:pPr>
        <w:spacing w:line="240" w:lineRule="auto"/>
        <w:rPr>
          <w:sz w:val="26"/>
          <w:szCs w:val="26"/>
        </w:rPr>
      </w:pPr>
    </w:p>
    <w:sectPr w:rsidR="00AF4A79" w:rsidRPr="002E0305" w:rsidSect="002E030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05"/>
    <w:rsid w:val="0023176C"/>
    <w:rsid w:val="002E0305"/>
    <w:rsid w:val="00AF4A79"/>
    <w:rsid w:val="00AF64D8"/>
    <w:rsid w:val="00C3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305"/>
    <w:rPr>
      <w:b/>
      <w:bCs/>
    </w:rPr>
  </w:style>
  <w:style w:type="character" w:styleId="a5">
    <w:name w:val="Emphasis"/>
    <w:basedOn w:val="a0"/>
    <w:uiPriority w:val="20"/>
    <w:qFormat/>
    <w:rsid w:val="002E0305"/>
    <w:rPr>
      <w:i/>
      <w:iCs/>
    </w:rPr>
  </w:style>
  <w:style w:type="character" w:customStyle="1" w:styleId="b-share">
    <w:name w:val="b-share"/>
    <w:basedOn w:val="a0"/>
    <w:rsid w:val="002E0305"/>
  </w:style>
  <w:style w:type="paragraph" w:styleId="a6">
    <w:name w:val="No Spacing"/>
    <w:uiPriority w:val="1"/>
    <w:qFormat/>
    <w:rsid w:val="002E0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305"/>
    <w:rPr>
      <w:b/>
      <w:bCs/>
    </w:rPr>
  </w:style>
  <w:style w:type="character" w:styleId="a5">
    <w:name w:val="Emphasis"/>
    <w:basedOn w:val="a0"/>
    <w:uiPriority w:val="20"/>
    <w:qFormat/>
    <w:rsid w:val="002E0305"/>
    <w:rPr>
      <w:i/>
      <w:iCs/>
    </w:rPr>
  </w:style>
  <w:style w:type="character" w:customStyle="1" w:styleId="b-share">
    <w:name w:val="b-share"/>
    <w:basedOn w:val="a0"/>
    <w:rsid w:val="002E0305"/>
  </w:style>
  <w:style w:type="paragraph" w:styleId="a6">
    <w:name w:val="No Spacing"/>
    <w:uiPriority w:val="1"/>
    <w:qFormat/>
    <w:rsid w:val="002E0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3</cp:revision>
  <cp:lastPrinted>2020-11-10T10:27:00Z</cp:lastPrinted>
  <dcterms:created xsi:type="dcterms:W3CDTF">2020-11-10T10:06:00Z</dcterms:created>
  <dcterms:modified xsi:type="dcterms:W3CDTF">2020-11-25T11:09:00Z</dcterms:modified>
</cp:coreProperties>
</file>